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Title: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Blending low-tech with high-tech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Abstract: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Low-tech methods in the classroom have a long history. What is behind their success? When and why could they be substituted by high-tech solutions? Are high-tech methods new in nature or just forgotten old? What is the benefit of blending low-tech methods with high-tech ones in the classroom?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Bio: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Reka has about 20 years experience of teaching English.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 the past, she worked in a secondary school and a college, for a language school on-site and at companies. She was on the school-leaving examination committee. She took part in teaching English to unemployed people who were in a re-training programme. Also, for a decade she taught Hungarian to foreigners.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Since she started to work in the predecessor of our university she has been teaching officers and officer cadets, Hungarians and non-Hungarians. She has been a teacher trainer and a mentor. She is one of the STANAG 6001 examiners.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